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443AC" w14:textId="1EFF7181" w:rsidR="008975F7" w:rsidRPr="00585CD2" w:rsidRDefault="008975F7" w:rsidP="6A7EF528">
      <w:pPr>
        <w:rPr>
          <w:rFonts w:asciiTheme="minorHAnsi" w:hAnsiTheme="minorHAnsi" w:cstheme="minorBidi"/>
          <w:b/>
          <w:bCs/>
          <w:sz w:val="22"/>
          <w:szCs w:val="22"/>
        </w:rPr>
      </w:pPr>
      <w:r w:rsidRPr="4B8A4E2E">
        <w:rPr>
          <w:rFonts w:asciiTheme="minorHAnsi" w:hAnsiTheme="minorHAnsi" w:cstheme="minorBidi"/>
          <w:b/>
          <w:bCs/>
          <w:sz w:val="22"/>
          <w:szCs w:val="22"/>
        </w:rPr>
        <w:t>Appendix 2: Oxford Local Plan 2040 Consultation and Engagement Plan</w:t>
      </w:r>
    </w:p>
    <w:p w14:paraId="672A6659" w14:textId="77777777" w:rsidR="008975F7" w:rsidRPr="004B6611" w:rsidRDefault="008975F7" w:rsidP="6CF2962A">
      <w:pPr>
        <w:rPr>
          <w:rFonts w:asciiTheme="minorHAnsi" w:hAnsiTheme="minorHAnsi" w:cstheme="minorBidi"/>
          <w:b/>
          <w:bCs/>
        </w:rPr>
      </w:pPr>
    </w:p>
    <w:p w14:paraId="0A37501D" w14:textId="77777777" w:rsidR="008975F7" w:rsidRPr="00585CD2" w:rsidRDefault="008975F7" w:rsidP="008975F7">
      <w:pPr>
        <w:rPr>
          <w:rFonts w:asciiTheme="minorHAnsi" w:hAnsiTheme="minorHAnsi" w:cstheme="minorHAnsi"/>
          <w:sz w:val="22"/>
          <w:szCs w:val="22"/>
        </w:rPr>
      </w:pPr>
    </w:p>
    <w:p w14:paraId="2586117F" w14:textId="610F1AE4" w:rsidR="008975F7" w:rsidRPr="00585CD2" w:rsidRDefault="008975F7" w:rsidP="6A7EF528">
      <w:pPr>
        <w:rPr>
          <w:rFonts w:asciiTheme="minorHAnsi" w:hAnsiTheme="minorHAnsi" w:cstheme="minorBidi"/>
          <w:sz w:val="22"/>
          <w:szCs w:val="22"/>
        </w:rPr>
      </w:pPr>
      <w:r w:rsidRPr="3D2D9B60">
        <w:rPr>
          <w:rFonts w:asciiTheme="minorHAnsi" w:hAnsiTheme="minorHAnsi" w:cstheme="minorBidi"/>
          <w:sz w:val="22"/>
          <w:szCs w:val="22"/>
        </w:rPr>
        <w:t xml:space="preserve">We will aim to have a plan shaped by the community and businesses, so that they will inform the plan as well as have a sense of ownership. Consultation will be at the heart of development of the Plan at every stage. We will welcome diverse inputs from organisations and a wide range of local people and where possible we will look to see how respondents reflect the profile of the community. When engaging with residents we will consider communities of interest, identity and geography. The Issues consultation provided an opportunity to shape the issues the Plan covers, helping to set out a vision. In this round of consultation, residents, communities and businesses will be able to comment on the Preferred Options document.   During the consultation process we aim to make ourselves and our work as accessible as possible to the community.  This Preferred Options engagement and consultation will be undertaken in a way consistent with the Statement of Community Involvement in Planning, and appropriate to the stage. </w:t>
      </w:r>
    </w:p>
    <w:p w14:paraId="02EB378F" w14:textId="77777777" w:rsidR="008975F7" w:rsidRPr="00585CD2" w:rsidRDefault="008975F7" w:rsidP="008975F7">
      <w:pPr>
        <w:rPr>
          <w:rFonts w:asciiTheme="minorHAnsi" w:hAnsiTheme="minorHAnsi" w:cstheme="minorHAnsi"/>
          <w:sz w:val="22"/>
          <w:szCs w:val="22"/>
        </w:rPr>
      </w:pPr>
      <w:bookmarkStart w:id="0" w:name="_GoBack"/>
      <w:bookmarkEnd w:id="0"/>
    </w:p>
    <w:p w14:paraId="0D0B940D" w14:textId="4A41AFE9" w:rsidR="008975F7" w:rsidRDefault="008975F7" w:rsidP="3D2D9B60">
      <w:pPr>
        <w:rPr>
          <w:rFonts w:asciiTheme="minorHAnsi" w:hAnsiTheme="minorHAnsi" w:cstheme="minorBidi"/>
          <w:sz w:val="22"/>
          <w:szCs w:val="22"/>
          <w:shd w:val="clear" w:color="auto" w:fill="FFFFFF"/>
        </w:rPr>
      </w:pPr>
      <w:r w:rsidRPr="3D2D9B60">
        <w:rPr>
          <w:rFonts w:asciiTheme="minorHAnsi" w:hAnsiTheme="minorHAnsi" w:cstheme="minorBidi"/>
          <w:sz w:val="22"/>
          <w:szCs w:val="22"/>
        </w:rPr>
        <w:t xml:space="preserve">We anticipate that there will be a wide range of views to be considered and from different communities and interests within and outside the city. However, we also think that certain topics and issues will be particularly emphasised. The consultation responses and engagement are an important input in forming the Local Plan. The evidence base, Government policy and so on will also be important in informing policy direction, together with professional judgement. We will aim to be clear at all stages of consultation and engagement that there are constraints to what can be included in a Plan, and that the engagement process is a chance for people to put forward views that will help inform the direction of the plan. </w:t>
      </w:r>
    </w:p>
    <w:p w14:paraId="301EC7D8" w14:textId="30976D54" w:rsidR="6A7EF528" w:rsidRDefault="6A7EF528" w:rsidP="6A7EF528">
      <w:pPr>
        <w:rPr>
          <w:rFonts w:asciiTheme="minorHAnsi" w:hAnsiTheme="minorHAnsi" w:cstheme="minorBidi"/>
          <w:b/>
          <w:bCs/>
        </w:rPr>
      </w:pPr>
    </w:p>
    <w:p w14:paraId="5DE5A45E" w14:textId="77777777" w:rsidR="008975F7" w:rsidRPr="00585CD2" w:rsidRDefault="008975F7" w:rsidP="3D2D9B60">
      <w:pPr>
        <w:rPr>
          <w:rFonts w:asciiTheme="minorHAnsi" w:hAnsiTheme="minorHAnsi" w:cstheme="minorBidi"/>
          <w:b/>
          <w:bCs/>
          <w:sz w:val="22"/>
          <w:szCs w:val="22"/>
          <w:shd w:val="clear" w:color="auto" w:fill="FFFFFF"/>
        </w:rPr>
      </w:pPr>
      <w:r w:rsidRPr="3D2D9B60">
        <w:rPr>
          <w:rFonts w:asciiTheme="minorHAnsi" w:hAnsiTheme="minorHAnsi" w:cstheme="minorBidi"/>
          <w:b/>
          <w:bCs/>
          <w:sz w:val="22"/>
          <w:szCs w:val="22"/>
          <w:shd w:val="clear" w:color="auto" w:fill="FFFFFF"/>
        </w:rPr>
        <w:t>Stages of consultation and engagement</w:t>
      </w:r>
    </w:p>
    <w:tbl>
      <w:tblPr>
        <w:tblStyle w:val="TableGrid"/>
        <w:tblpPr w:leftFromText="180" w:rightFromText="180" w:vertAnchor="text" w:horzAnchor="margin" w:tblpXSpec="center" w:tblpY="194"/>
        <w:tblW w:w="13751" w:type="dxa"/>
        <w:tblLayout w:type="fixed"/>
        <w:tblLook w:val="04A0" w:firstRow="1" w:lastRow="0" w:firstColumn="1" w:lastColumn="0" w:noHBand="0" w:noVBand="1"/>
      </w:tblPr>
      <w:tblGrid>
        <w:gridCol w:w="1736"/>
        <w:gridCol w:w="2403"/>
        <w:gridCol w:w="2402"/>
        <w:gridCol w:w="2402"/>
        <w:gridCol w:w="2402"/>
        <w:gridCol w:w="2406"/>
      </w:tblGrid>
      <w:tr w:rsidR="008975F7" w:rsidRPr="00B459F7" w14:paraId="20A83124" w14:textId="77777777" w:rsidTr="2178DE4D">
        <w:tc>
          <w:tcPr>
            <w:tcW w:w="1735" w:type="dxa"/>
            <w:tcBorders>
              <w:bottom w:val="single" w:sz="18" w:space="0" w:color="auto"/>
            </w:tcBorders>
            <w:shd w:val="clear" w:color="auto" w:fill="595959" w:themeFill="text1" w:themeFillTint="A6"/>
          </w:tcPr>
          <w:p w14:paraId="1FE7A217" w14:textId="77777777" w:rsidR="008975F7" w:rsidRPr="00B459F7" w:rsidRDefault="008975F7" w:rsidP="00EF3A43">
            <w:pPr>
              <w:contextualSpacing/>
              <w:rPr>
                <w:rFonts w:asciiTheme="minorHAnsi" w:hAnsiTheme="minorHAnsi" w:cstheme="minorHAnsi"/>
                <w:b/>
                <w:color w:val="FFFFFF" w:themeColor="background1"/>
              </w:rPr>
            </w:pPr>
            <w:r w:rsidRPr="00B459F7">
              <w:rPr>
                <w:rFonts w:asciiTheme="minorHAnsi" w:hAnsiTheme="minorHAnsi" w:cstheme="minorHAnsi"/>
                <w:b/>
                <w:color w:val="FFFFFF" w:themeColor="background1"/>
              </w:rPr>
              <w:t>Stage</w:t>
            </w:r>
          </w:p>
        </w:tc>
        <w:tc>
          <w:tcPr>
            <w:tcW w:w="2403" w:type="dxa"/>
            <w:tcBorders>
              <w:bottom w:val="single" w:sz="18" w:space="0" w:color="auto"/>
            </w:tcBorders>
            <w:shd w:val="clear" w:color="auto" w:fill="595959" w:themeFill="text1" w:themeFillTint="A6"/>
          </w:tcPr>
          <w:p w14:paraId="35672763" w14:textId="77777777" w:rsidR="008975F7" w:rsidRPr="00B459F7" w:rsidRDefault="008975F7" w:rsidP="00EF3A43">
            <w:pPr>
              <w:contextualSpacing/>
              <w:rPr>
                <w:rFonts w:asciiTheme="minorHAnsi" w:hAnsiTheme="minorHAnsi" w:cstheme="minorHAnsi"/>
                <w:b/>
                <w:color w:val="FFFFFF" w:themeColor="background1"/>
              </w:rPr>
            </w:pPr>
            <w:r w:rsidRPr="00B459F7">
              <w:rPr>
                <w:rFonts w:asciiTheme="minorHAnsi" w:hAnsiTheme="minorHAnsi" w:cstheme="minorHAnsi"/>
                <w:b/>
                <w:color w:val="FFFFFF" w:themeColor="background1"/>
              </w:rPr>
              <w:t xml:space="preserve"> What to consult on</w:t>
            </w:r>
          </w:p>
        </w:tc>
        <w:tc>
          <w:tcPr>
            <w:tcW w:w="2403" w:type="dxa"/>
            <w:tcBorders>
              <w:bottom w:val="single" w:sz="18" w:space="0" w:color="auto"/>
            </w:tcBorders>
            <w:shd w:val="clear" w:color="auto" w:fill="595959" w:themeFill="text1" w:themeFillTint="A6"/>
          </w:tcPr>
          <w:p w14:paraId="4F1F54FC" w14:textId="77777777" w:rsidR="008975F7" w:rsidRPr="00B459F7" w:rsidRDefault="008975F7" w:rsidP="00EF3A43">
            <w:pPr>
              <w:contextualSpacing/>
              <w:rPr>
                <w:rFonts w:asciiTheme="minorHAnsi" w:hAnsiTheme="minorHAnsi" w:cstheme="minorHAnsi"/>
                <w:b/>
                <w:color w:val="FFFFFF" w:themeColor="background1"/>
              </w:rPr>
            </w:pPr>
            <w:r w:rsidRPr="00B459F7">
              <w:rPr>
                <w:rFonts w:asciiTheme="minorHAnsi" w:hAnsiTheme="minorHAnsi" w:cstheme="minorHAnsi"/>
                <w:b/>
                <w:color w:val="FFFFFF" w:themeColor="background1"/>
              </w:rPr>
              <w:t>Benefits/purpose of this stage</w:t>
            </w:r>
          </w:p>
        </w:tc>
        <w:tc>
          <w:tcPr>
            <w:tcW w:w="2403" w:type="dxa"/>
            <w:tcBorders>
              <w:bottom w:val="single" w:sz="18" w:space="0" w:color="auto"/>
            </w:tcBorders>
            <w:shd w:val="clear" w:color="auto" w:fill="595959" w:themeFill="text1" w:themeFillTint="A6"/>
          </w:tcPr>
          <w:p w14:paraId="7FF9FE32" w14:textId="77777777" w:rsidR="008975F7" w:rsidRPr="00B459F7" w:rsidRDefault="008975F7" w:rsidP="00EF3A43">
            <w:pPr>
              <w:contextualSpacing/>
              <w:rPr>
                <w:rFonts w:asciiTheme="minorHAnsi" w:hAnsiTheme="minorHAnsi" w:cstheme="minorHAnsi"/>
                <w:b/>
                <w:color w:val="FFFFFF" w:themeColor="background1"/>
              </w:rPr>
            </w:pPr>
            <w:r w:rsidRPr="00B459F7">
              <w:rPr>
                <w:rFonts w:asciiTheme="minorHAnsi" w:hAnsiTheme="minorHAnsi" w:cstheme="minorHAnsi"/>
                <w:b/>
                <w:color w:val="FFFFFF" w:themeColor="background1"/>
              </w:rPr>
              <w:t>How to consult</w:t>
            </w:r>
            <w:r>
              <w:rPr>
                <w:rFonts w:asciiTheme="minorHAnsi" w:hAnsiTheme="minorHAnsi" w:cstheme="minorHAnsi"/>
                <w:b/>
                <w:color w:val="FFFFFF" w:themeColor="background1"/>
              </w:rPr>
              <w:t xml:space="preserve"> and engage</w:t>
            </w:r>
          </w:p>
        </w:tc>
        <w:tc>
          <w:tcPr>
            <w:tcW w:w="2403" w:type="dxa"/>
            <w:tcBorders>
              <w:bottom w:val="single" w:sz="18" w:space="0" w:color="auto"/>
            </w:tcBorders>
            <w:shd w:val="clear" w:color="auto" w:fill="595959" w:themeFill="text1" w:themeFillTint="A6"/>
          </w:tcPr>
          <w:p w14:paraId="0067F115" w14:textId="77777777" w:rsidR="008975F7" w:rsidRPr="00B459F7" w:rsidRDefault="008975F7" w:rsidP="00EF3A43">
            <w:pPr>
              <w:contextualSpacing/>
              <w:rPr>
                <w:rFonts w:asciiTheme="minorHAnsi" w:hAnsiTheme="minorHAnsi" w:cstheme="minorHAnsi"/>
                <w:b/>
                <w:color w:val="FFFFFF" w:themeColor="background1"/>
              </w:rPr>
            </w:pPr>
            <w:r w:rsidRPr="00B459F7">
              <w:rPr>
                <w:rFonts w:asciiTheme="minorHAnsi" w:hAnsiTheme="minorHAnsi" w:cstheme="minorHAnsi"/>
                <w:b/>
                <w:color w:val="FFFFFF" w:themeColor="background1"/>
              </w:rPr>
              <w:t>How to publicise</w:t>
            </w:r>
          </w:p>
        </w:tc>
        <w:tc>
          <w:tcPr>
            <w:tcW w:w="2404" w:type="dxa"/>
            <w:tcBorders>
              <w:bottom w:val="single" w:sz="18" w:space="0" w:color="auto"/>
            </w:tcBorders>
            <w:shd w:val="clear" w:color="auto" w:fill="595959" w:themeFill="text1" w:themeFillTint="A6"/>
          </w:tcPr>
          <w:p w14:paraId="3CB8666A" w14:textId="77777777" w:rsidR="008975F7" w:rsidRPr="00B459F7" w:rsidRDefault="008975F7" w:rsidP="00EF3A43">
            <w:pPr>
              <w:contextualSpacing/>
              <w:rPr>
                <w:rFonts w:asciiTheme="minorHAnsi" w:hAnsiTheme="minorHAnsi" w:cstheme="minorHAnsi"/>
                <w:b/>
                <w:color w:val="FFFFFF" w:themeColor="background1"/>
              </w:rPr>
            </w:pPr>
            <w:r w:rsidRPr="00B459F7">
              <w:rPr>
                <w:rFonts w:asciiTheme="minorHAnsi" w:hAnsiTheme="minorHAnsi" w:cstheme="minorHAnsi"/>
                <w:b/>
                <w:color w:val="FFFFFF" w:themeColor="background1"/>
              </w:rPr>
              <w:t>Who to consult</w:t>
            </w:r>
            <w:r>
              <w:rPr>
                <w:rFonts w:asciiTheme="minorHAnsi" w:hAnsiTheme="minorHAnsi" w:cstheme="minorHAnsi"/>
                <w:b/>
                <w:color w:val="FFFFFF" w:themeColor="background1"/>
              </w:rPr>
              <w:t xml:space="preserve"> and engage with</w:t>
            </w:r>
          </w:p>
        </w:tc>
      </w:tr>
      <w:tr w:rsidR="008975F7" w:rsidRPr="00B74E23" w14:paraId="1046B513" w14:textId="77777777" w:rsidTr="2178DE4D">
        <w:trPr>
          <w:trHeight w:val="3453"/>
        </w:trPr>
        <w:tc>
          <w:tcPr>
            <w:tcW w:w="1735" w:type="dxa"/>
            <w:tcBorders>
              <w:top w:val="single" w:sz="18" w:space="0" w:color="auto"/>
            </w:tcBorders>
          </w:tcPr>
          <w:p w14:paraId="7A544B8B" w14:textId="7EB56B42" w:rsidR="008975F7" w:rsidRPr="00B74E23" w:rsidRDefault="008975F7" w:rsidP="6D8BA9F8">
            <w:pPr>
              <w:contextualSpacing/>
              <w:rPr>
                <w:rFonts w:asciiTheme="minorHAnsi" w:hAnsiTheme="minorHAnsi" w:cstheme="minorBidi"/>
              </w:rPr>
            </w:pPr>
            <w:r w:rsidRPr="4B8A4E2E">
              <w:rPr>
                <w:rFonts w:asciiTheme="minorHAnsi" w:hAnsiTheme="minorHAnsi" w:cstheme="minorBidi"/>
              </w:rPr>
              <w:t>Consultation on the Oxford Local Plan 2040 Preferred Options Document Oct/Nov 2022</w:t>
            </w:r>
          </w:p>
        </w:tc>
        <w:tc>
          <w:tcPr>
            <w:tcW w:w="2403" w:type="dxa"/>
            <w:tcBorders>
              <w:top w:val="single" w:sz="18" w:space="0" w:color="auto"/>
            </w:tcBorders>
          </w:tcPr>
          <w:p w14:paraId="64BD2E7D" w14:textId="77777777" w:rsidR="008975F7" w:rsidRDefault="008975F7" w:rsidP="6A7EF528">
            <w:pPr>
              <w:contextualSpacing/>
              <w:rPr>
                <w:rFonts w:asciiTheme="minorHAnsi" w:hAnsiTheme="minorHAnsi" w:cstheme="minorBidi"/>
              </w:rPr>
            </w:pPr>
            <w:r w:rsidRPr="6A7EF528">
              <w:rPr>
                <w:rFonts w:asciiTheme="minorHAnsi" w:hAnsiTheme="minorHAnsi" w:cstheme="minorBidi"/>
              </w:rPr>
              <w:t xml:space="preserve">Preferred options document. A document showing preferred options for policy approaches, with other options considered also shown. </w:t>
            </w:r>
          </w:p>
          <w:p w14:paraId="647830A4" w14:textId="33E646CC" w:rsidR="008975F7" w:rsidRDefault="008975F7" w:rsidP="6A7EF528">
            <w:pPr>
              <w:contextualSpacing/>
              <w:rPr>
                <w:rFonts w:asciiTheme="minorHAnsi" w:hAnsiTheme="minorHAnsi" w:cstheme="minorBidi"/>
              </w:rPr>
            </w:pPr>
            <w:r w:rsidRPr="6A7EF528">
              <w:rPr>
                <w:rFonts w:asciiTheme="minorHAnsi" w:hAnsiTheme="minorHAnsi" w:cstheme="minorBidi"/>
              </w:rPr>
              <w:t xml:space="preserve">Sustainability Appraisal and background papers also to be published. </w:t>
            </w:r>
          </w:p>
          <w:p w14:paraId="7F942611" w14:textId="57F4E0AF" w:rsidR="008975F7" w:rsidRPr="00B74E23" w:rsidRDefault="008975F7" w:rsidP="6D8BA9F8">
            <w:pPr>
              <w:contextualSpacing/>
              <w:rPr>
                <w:rFonts w:asciiTheme="minorHAnsi" w:hAnsiTheme="minorHAnsi" w:cstheme="minorBidi"/>
              </w:rPr>
            </w:pPr>
            <w:r w:rsidRPr="6A7EF528">
              <w:rPr>
                <w:rFonts w:asciiTheme="minorHAnsi" w:hAnsiTheme="minorHAnsi" w:cstheme="minorBidi"/>
              </w:rPr>
              <w:t xml:space="preserve">The thinking behind selection of the preferred options to be shown clearly in a table format. </w:t>
            </w:r>
          </w:p>
        </w:tc>
        <w:tc>
          <w:tcPr>
            <w:tcW w:w="2403" w:type="dxa"/>
            <w:tcBorders>
              <w:top w:val="single" w:sz="18" w:space="0" w:color="auto"/>
            </w:tcBorders>
          </w:tcPr>
          <w:p w14:paraId="0165B54B" w14:textId="1ADA651F" w:rsidR="008975F7" w:rsidRPr="00686F8D" w:rsidRDefault="008975F7" w:rsidP="6D8BA9F8">
            <w:pPr>
              <w:contextualSpacing/>
              <w:rPr>
                <w:rFonts w:asciiTheme="minorHAnsi" w:hAnsiTheme="minorHAnsi" w:cstheme="minorBidi"/>
              </w:rPr>
            </w:pPr>
            <w:r w:rsidRPr="4B8A4E2E">
              <w:rPr>
                <w:rFonts w:asciiTheme="minorHAnsi" w:hAnsiTheme="minorHAnsi" w:cstheme="minorBidi"/>
              </w:rPr>
              <w:t xml:space="preserve">This stage enables meaningful public engagement in the development of the plan’s policies, enabling them to evaluate different options. We will show clearly the direction of our thinking so far, providing the wider context for the project and explaining why options are selected as ‘preferred’, and how the results of the previous consultation have been applied. This will be set </w:t>
            </w:r>
            <w:r w:rsidRPr="4B8A4E2E">
              <w:rPr>
                <w:rFonts w:asciiTheme="minorHAnsi" w:hAnsiTheme="minorHAnsi" w:cstheme="minorBidi"/>
              </w:rPr>
              <w:lastRenderedPageBreak/>
              <w:t xml:space="preserve">out for people to comment on, but they will not be being presented with a draft plan where decisions have already been made. </w:t>
            </w:r>
          </w:p>
          <w:p w14:paraId="62EBF3C5" w14:textId="77777777" w:rsidR="008975F7" w:rsidRDefault="008975F7" w:rsidP="6A7EF528">
            <w:pPr>
              <w:contextualSpacing/>
              <w:rPr>
                <w:rFonts w:asciiTheme="minorHAnsi" w:hAnsiTheme="minorHAnsi" w:cstheme="minorBidi"/>
              </w:rPr>
            </w:pPr>
          </w:p>
          <w:p w14:paraId="3C53E8F7" w14:textId="49B024FC" w:rsidR="008975F7" w:rsidRPr="00B74E23" w:rsidRDefault="008975F7" w:rsidP="6A7EF528">
            <w:pPr>
              <w:contextualSpacing/>
              <w:rPr>
                <w:rFonts w:asciiTheme="minorHAnsi" w:hAnsiTheme="minorHAnsi" w:cstheme="minorBidi"/>
              </w:rPr>
            </w:pPr>
            <w:r w:rsidRPr="2178DE4D">
              <w:rPr>
                <w:rFonts w:asciiTheme="minorHAnsi" w:hAnsiTheme="minorHAnsi" w:cstheme="minorBidi"/>
              </w:rPr>
              <w:t xml:space="preserve">There will be scope to make changes to the preferred options based on the consultation responses.  People can get involved in shaping the document. </w:t>
            </w:r>
          </w:p>
        </w:tc>
        <w:tc>
          <w:tcPr>
            <w:tcW w:w="2403" w:type="dxa"/>
            <w:tcBorders>
              <w:top w:val="single" w:sz="18" w:space="0" w:color="auto"/>
            </w:tcBorders>
          </w:tcPr>
          <w:p w14:paraId="5C3AAE8F" w14:textId="545433E0" w:rsidR="008975F7" w:rsidRPr="00B74E23" w:rsidRDefault="008975F7" w:rsidP="6D8BA9F8">
            <w:pPr>
              <w:contextualSpacing/>
              <w:rPr>
                <w:rFonts w:asciiTheme="minorHAnsi" w:hAnsiTheme="minorHAnsi" w:cstheme="minorBidi"/>
              </w:rPr>
            </w:pPr>
            <w:r w:rsidRPr="2178DE4D">
              <w:rPr>
                <w:rFonts w:asciiTheme="minorHAnsi" w:hAnsiTheme="minorHAnsi" w:cstheme="minorBidi"/>
              </w:rPr>
              <w:lastRenderedPageBreak/>
              <w:t xml:space="preserve">Formal consultation for six weeks. The publication of the Preferred Options document will be publicised. People will be encouraged to engage with the document by viewing it either on the Council’s website, the Consultation portal or in Oxford’s Central Library/ St Aldates Customer Service </w:t>
            </w:r>
            <w:proofErr w:type="spellStart"/>
            <w:r w:rsidRPr="2178DE4D">
              <w:rPr>
                <w:rFonts w:asciiTheme="minorHAnsi" w:hAnsiTheme="minorHAnsi" w:cstheme="minorBidi"/>
              </w:rPr>
              <w:t>Cente</w:t>
            </w:r>
            <w:proofErr w:type="spellEnd"/>
            <w:r w:rsidRPr="2178DE4D">
              <w:rPr>
                <w:rFonts w:asciiTheme="minorHAnsi" w:hAnsiTheme="minorHAnsi" w:cstheme="minorBidi"/>
              </w:rPr>
              <w:t xml:space="preserve">.  There will be a questionnaire that can be completed on the Council’s consultation </w:t>
            </w:r>
            <w:r w:rsidRPr="2178DE4D">
              <w:rPr>
                <w:rFonts w:asciiTheme="minorHAnsi" w:hAnsiTheme="minorHAnsi" w:cstheme="minorBidi"/>
              </w:rPr>
              <w:lastRenderedPageBreak/>
              <w:t xml:space="preserve">portal.  A leaflet style questionnaire will also be distributed to all Oxford households and key businesses providing the opportunity to answer some brief questions and return by freepost.  Written, informal and formal comments are also encouraged, and </w:t>
            </w:r>
            <w:proofErr w:type="spellStart"/>
            <w:r w:rsidRPr="2178DE4D">
              <w:rPr>
                <w:rFonts w:asciiTheme="minorHAnsi" w:hAnsiTheme="minorHAnsi" w:cstheme="minorBidi"/>
              </w:rPr>
              <w:t>postboxes</w:t>
            </w:r>
            <w:proofErr w:type="spellEnd"/>
            <w:r w:rsidRPr="2178DE4D">
              <w:rPr>
                <w:rFonts w:asciiTheme="minorHAnsi" w:hAnsiTheme="minorHAnsi" w:cstheme="minorBidi"/>
              </w:rPr>
              <w:t xml:space="preserve"> will be left across the city in key community locations where people can write short and longer responses. There will be other methods used to try to engage people and invite feedback, and provide the opportunity for the public to meet the team and ask questions via:</w:t>
            </w:r>
          </w:p>
          <w:p w14:paraId="110FFD37" w14:textId="4694558D" w:rsidR="008975F7" w:rsidRDefault="7EC7A6FF" w:rsidP="2178DE4D">
            <w:pPr>
              <w:contextualSpacing/>
              <w:rPr>
                <w:rFonts w:asciiTheme="minorHAnsi" w:hAnsiTheme="minorHAnsi" w:cstheme="minorBidi"/>
              </w:rPr>
            </w:pPr>
            <w:r w:rsidRPr="2178DE4D">
              <w:rPr>
                <w:rFonts w:asciiTheme="minorHAnsi" w:hAnsiTheme="minorHAnsi" w:cstheme="minorBidi"/>
              </w:rPr>
              <w:t xml:space="preserve">Social media, events and various print and online publications.  </w:t>
            </w:r>
          </w:p>
          <w:p w14:paraId="6B699379" w14:textId="77777777" w:rsidR="008975F7" w:rsidRDefault="008975F7" w:rsidP="6A7EF528">
            <w:pPr>
              <w:contextualSpacing/>
              <w:rPr>
                <w:rFonts w:asciiTheme="minorHAnsi" w:hAnsiTheme="minorHAnsi" w:cstheme="minorBidi"/>
              </w:rPr>
            </w:pPr>
          </w:p>
          <w:p w14:paraId="3FE9F23F" w14:textId="77777777" w:rsidR="008975F7" w:rsidRPr="00B74E23" w:rsidRDefault="008975F7" w:rsidP="6A7EF528">
            <w:pPr>
              <w:contextualSpacing/>
              <w:rPr>
                <w:rFonts w:asciiTheme="minorHAnsi" w:hAnsiTheme="minorHAnsi" w:cstheme="minorBidi"/>
              </w:rPr>
            </w:pPr>
          </w:p>
        </w:tc>
        <w:tc>
          <w:tcPr>
            <w:tcW w:w="2400" w:type="dxa"/>
            <w:tcBorders>
              <w:top w:val="single" w:sz="18" w:space="0" w:color="auto"/>
              <w:right w:val="single" w:sz="2" w:space="0" w:color="auto"/>
            </w:tcBorders>
          </w:tcPr>
          <w:p w14:paraId="423EE8E6" w14:textId="5EAC441A" w:rsidR="008975F7" w:rsidRPr="00B74E23" w:rsidRDefault="008975F7" w:rsidP="2178DE4D">
            <w:pPr>
              <w:contextualSpacing/>
              <w:rPr>
                <w:rFonts w:asciiTheme="minorHAnsi" w:hAnsiTheme="minorHAnsi" w:cstheme="minorBidi"/>
              </w:rPr>
            </w:pPr>
            <w:r w:rsidRPr="2178DE4D">
              <w:rPr>
                <w:rFonts w:asciiTheme="minorHAnsi" w:hAnsiTheme="minorHAnsi" w:cstheme="minorBidi"/>
              </w:rPr>
              <w:lastRenderedPageBreak/>
              <w:t>Press releases/ statutory notices to all local newspaper outlets.</w:t>
            </w:r>
          </w:p>
          <w:p w14:paraId="7DCD1FE0" w14:textId="19891BFE" w:rsidR="008975F7" w:rsidRPr="00B74E23" w:rsidRDefault="008975F7" w:rsidP="2178DE4D">
            <w:pPr>
              <w:contextualSpacing/>
              <w:rPr>
                <w:rFonts w:asciiTheme="minorHAnsi" w:hAnsiTheme="minorHAnsi" w:cstheme="minorBidi"/>
              </w:rPr>
            </w:pPr>
            <w:r w:rsidRPr="2178DE4D">
              <w:rPr>
                <w:rFonts w:asciiTheme="minorHAnsi" w:hAnsiTheme="minorHAnsi" w:cstheme="minorBidi"/>
              </w:rPr>
              <w:t xml:space="preserve">A </w:t>
            </w:r>
            <w:r w:rsidR="7EC7A6FF" w:rsidRPr="2178DE4D">
              <w:rPr>
                <w:rFonts w:asciiTheme="minorHAnsi" w:hAnsiTheme="minorHAnsi" w:cstheme="minorBidi"/>
              </w:rPr>
              <w:t>social media strategy that has a different theme each week across the six-weeks consultation period.</w:t>
            </w:r>
          </w:p>
          <w:p w14:paraId="07A82D51" w14:textId="74CC6EA8" w:rsidR="008975F7" w:rsidRPr="00B74E23" w:rsidRDefault="7EC7A6FF" w:rsidP="2178DE4D">
            <w:pPr>
              <w:contextualSpacing/>
              <w:rPr>
                <w:rFonts w:asciiTheme="minorHAnsi" w:hAnsiTheme="minorHAnsi" w:cstheme="minorBidi"/>
              </w:rPr>
            </w:pPr>
            <w:r w:rsidRPr="2178DE4D">
              <w:rPr>
                <w:rFonts w:asciiTheme="minorHAnsi" w:hAnsiTheme="minorHAnsi" w:cstheme="minorBidi"/>
              </w:rPr>
              <w:t xml:space="preserve">All Oxford households will receive a leaflet through their door notifying them of the consultation and providing the opportunity for return of comments. </w:t>
            </w:r>
            <w:r w:rsidR="008975F7" w:rsidRPr="2178DE4D">
              <w:rPr>
                <w:rFonts w:asciiTheme="minorHAnsi" w:hAnsiTheme="minorHAnsi" w:cstheme="minorBidi"/>
              </w:rPr>
              <w:t xml:space="preserve">Flyers/posters sent out to various community </w:t>
            </w:r>
            <w:r w:rsidR="008975F7" w:rsidRPr="2178DE4D">
              <w:rPr>
                <w:rFonts w:asciiTheme="minorHAnsi" w:hAnsiTheme="minorHAnsi" w:cstheme="minorBidi"/>
              </w:rPr>
              <w:lastRenderedPageBreak/>
              <w:t xml:space="preserve">noticeboards across the city. </w:t>
            </w:r>
          </w:p>
          <w:p w14:paraId="62DC6182" w14:textId="7A7533D6" w:rsidR="008975F7" w:rsidRPr="00B74E23" w:rsidRDefault="2178DE4D" w:rsidP="2178DE4D">
            <w:pPr>
              <w:contextualSpacing/>
              <w:rPr>
                <w:rFonts w:asciiTheme="minorHAnsi" w:hAnsiTheme="minorHAnsi" w:cstheme="minorBidi"/>
              </w:rPr>
            </w:pPr>
            <w:r w:rsidRPr="2178DE4D">
              <w:rPr>
                <w:rFonts w:asciiTheme="minorHAnsi" w:hAnsiTheme="minorHAnsi" w:cstheme="minorBidi"/>
              </w:rPr>
              <w:t>Notices sent out to key employers/ businesses within the city.</w:t>
            </w:r>
          </w:p>
          <w:p w14:paraId="3278DD7C" w14:textId="2F90FA25" w:rsidR="008975F7" w:rsidRPr="00B74E23" w:rsidRDefault="2178DE4D" w:rsidP="2178DE4D">
            <w:pPr>
              <w:contextualSpacing/>
              <w:rPr>
                <w:rFonts w:asciiTheme="minorHAnsi" w:hAnsiTheme="minorHAnsi" w:cstheme="minorBidi"/>
              </w:rPr>
            </w:pPr>
            <w:r w:rsidRPr="2178DE4D">
              <w:rPr>
                <w:rFonts w:asciiTheme="minorHAnsi" w:hAnsiTheme="minorHAnsi" w:cstheme="minorBidi"/>
              </w:rPr>
              <w:t>Notices sent to local interest groups and organisations.</w:t>
            </w:r>
          </w:p>
          <w:p w14:paraId="1A0659D5" w14:textId="4F4477E5" w:rsidR="008975F7" w:rsidRPr="00B74E23" w:rsidRDefault="008975F7" w:rsidP="2178DE4D">
            <w:pPr>
              <w:contextualSpacing/>
              <w:rPr>
                <w:rFonts w:asciiTheme="minorHAnsi" w:hAnsiTheme="minorHAnsi" w:cstheme="minorBidi"/>
              </w:rPr>
            </w:pPr>
            <w:proofErr w:type="spellStart"/>
            <w:r w:rsidRPr="2178DE4D">
              <w:rPr>
                <w:rFonts w:asciiTheme="minorHAnsi" w:hAnsiTheme="minorHAnsi" w:cstheme="minorBidi"/>
              </w:rPr>
              <w:t>Postboxes</w:t>
            </w:r>
            <w:proofErr w:type="spellEnd"/>
            <w:r w:rsidRPr="2178DE4D">
              <w:rPr>
                <w:rFonts w:asciiTheme="minorHAnsi" w:hAnsiTheme="minorHAnsi" w:cstheme="minorBidi"/>
              </w:rPr>
              <w:t xml:space="preserve"> will be utilised to collect responses at key community locations including community centres, libraries, leisure centres, health centres.  </w:t>
            </w:r>
            <w:r w:rsidR="139EB53E" w:rsidRPr="2178DE4D">
              <w:rPr>
                <w:rFonts w:asciiTheme="minorHAnsi" w:hAnsiTheme="minorHAnsi" w:cstheme="minorBidi"/>
              </w:rPr>
              <w:t xml:space="preserve"> </w:t>
            </w:r>
          </w:p>
        </w:tc>
        <w:tc>
          <w:tcPr>
            <w:tcW w:w="2407" w:type="dxa"/>
            <w:tcBorders>
              <w:top w:val="single" w:sz="18" w:space="0" w:color="auto"/>
              <w:left w:val="single" w:sz="2" w:space="0" w:color="auto"/>
              <w:right w:val="single" w:sz="2" w:space="0" w:color="auto"/>
            </w:tcBorders>
          </w:tcPr>
          <w:p w14:paraId="4AB230E4" w14:textId="0BB6453E" w:rsidR="008975F7" w:rsidRPr="00B74E23" w:rsidRDefault="6A7EF528" w:rsidP="6A7EF528">
            <w:pPr>
              <w:spacing w:line="259" w:lineRule="auto"/>
              <w:contextualSpacing/>
              <w:rPr>
                <w:rFonts w:asciiTheme="minorHAnsi" w:hAnsiTheme="minorHAnsi" w:cstheme="minorBidi"/>
              </w:rPr>
            </w:pPr>
            <w:r w:rsidRPr="6A7EF528">
              <w:rPr>
                <w:rFonts w:asciiTheme="minorHAnsi" w:hAnsiTheme="minorHAnsi" w:cstheme="minorBidi"/>
              </w:rPr>
              <w:lastRenderedPageBreak/>
              <w:t>As a team we strive to make ourselves highly accessible to all of Oxford’s residents.</w:t>
            </w:r>
          </w:p>
          <w:p w14:paraId="0A14D112" w14:textId="766DE315" w:rsidR="008975F7" w:rsidRPr="00B74E23" w:rsidRDefault="6A7EF528" w:rsidP="6A7EF528">
            <w:pPr>
              <w:spacing w:line="259" w:lineRule="auto"/>
              <w:contextualSpacing/>
              <w:rPr>
                <w:rFonts w:asciiTheme="minorHAnsi" w:hAnsiTheme="minorHAnsi" w:cstheme="minorBidi"/>
              </w:rPr>
            </w:pPr>
            <w:r w:rsidRPr="2178DE4D">
              <w:rPr>
                <w:rFonts w:asciiTheme="minorHAnsi" w:hAnsiTheme="minorHAnsi" w:cstheme="minorBidi"/>
              </w:rPr>
              <w:t xml:space="preserve">We have identified different groups of interest, identity and geography and we aim to tailor our approach accordingly to these people. </w:t>
            </w:r>
            <w:r w:rsidR="7EC7A6FF" w:rsidRPr="2178DE4D">
              <w:rPr>
                <w:rFonts w:asciiTheme="minorHAnsi" w:hAnsiTheme="minorHAnsi" w:cstheme="minorBidi"/>
              </w:rPr>
              <w:t xml:space="preserve">All statutory and non-statutory consultees including local interest groups and organisations will be contacted either in </w:t>
            </w:r>
            <w:r w:rsidR="7EC7A6FF" w:rsidRPr="2178DE4D">
              <w:rPr>
                <w:rFonts w:asciiTheme="minorHAnsi" w:hAnsiTheme="minorHAnsi" w:cstheme="minorBidi"/>
              </w:rPr>
              <w:lastRenderedPageBreak/>
              <w:t>writing or by email as part of the process.</w:t>
            </w:r>
          </w:p>
          <w:p w14:paraId="1F72F646" w14:textId="3D876CA9" w:rsidR="008975F7" w:rsidRPr="00B74E23" w:rsidRDefault="008975F7" w:rsidP="6D8BA9F8">
            <w:pPr>
              <w:contextualSpacing/>
              <w:rPr>
                <w:rFonts w:asciiTheme="minorHAnsi" w:hAnsiTheme="minorHAnsi" w:cstheme="minorBidi"/>
              </w:rPr>
            </w:pPr>
          </w:p>
        </w:tc>
      </w:tr>
      <w:tr w:rsidR="008975F7" w:rsidRPr="00B74E23" w14:paraId="346A5497" w14:textId="77777777" w:rsidTr="2178DE4D">
        <w:tc>
          <w:tcPr>
            <w:tcW w:w="1735" w:type="dxa"/>
            <w:tcBorders>
              <w:top w:val="single" w:sz="18" w:space="0" w:color="auto"/>
            </w:tcBorders>
          </w:tcPr>
          <w:p w14:paraId="3271AD90" w14:textId="77777777" w:rsidR="008975F7" w:rsidRDefault="008975F7" w:rsidP="00EF3A43">
            <w:pPr>
              <w:contextualSpacing/>
              <w:rPr>
                <w:rFonts w:asciiTheme="minorHAnsi" w:hAnsiTheme="minorHAnsi" w:cstheme="minorHAnsi"/>
              </w:rPr>
            </w:pPr>
            <w:r w:rsidRPr="00B74E23">
              <w:rPr>
                <w:rFonts w:asciiTheme="minorHAnsi" w:hAnsiTheme="minorHAnsi" w:cstheme="minorHAnsi"/>
              </w:rPr>
              <w:lastRenderedPageBreak/>
              <w:t>Pre-submission consultation</w:t>
            </w:r>
          </w:p>
          <w:p w14:paraId="0FA6870C" w14:textId="5EBE4E29" w:rsidR="008975F7" w:rsidRPr="00B74E23" w:rsidRDefault="008975F7" w:rsidP="6A7EF528">
            <w:pPr>
              <w:contextualSpacing/>
              <w:rPr>
                <w:rFonts w:asciiTheme="minorHAnsi" w:hAnsiTheme="minorHAnsi" w:cstheme="minorBidi"/>
              </w:rPr>
            </w:pPr>
            <w:proofErr w:type="spellStart"/>
            <w:r w:rsidRPr="3D2D9B60">
              <w:rPr>
                <w:rFonts w:asciiTheme="minorHAnsi" w:hAnsiTheme="minorHAnsi" w:cstheme="minorBidi"/>
              </w:rPr>
              <w:t>Approx</w:t>
            </w:r>
            <w:proofErr w:type="spellEnd"/>
            <w:r w:rsidRPr="3D2D9B60">
              <w:rPr>
                <w:rFonts w:asciiTheme="minorHAnsi" w:hAnsiTheme="minorHAnsi" w:cstheme="minorBidi"/>
              </w:rPr>
              <w:t xml:space="preserve"> Late Summer/Early Autumn  2023</w:t>
            </w:r>
          </w:p>
        </w:tc>
        <w:tc>
          <w:tcPr>
            <w:tcW w:w="2403" w:type="dxa"/>
            <w:tcBorders>
              <w:top w:val="single" w:sz="18" w:space="0" w:color="auto"/>
            </w:tcBorders>
          </w:tcPr>
          <w:p w14:paraId="072BBA0A" w14:textId="77777777" w:rsidR="008975F7" w:rsidRDefault="008975F7" w:rsidP="00EF3A43">
            <w:pPr>
              <w:contextualSpacing/>
              <w:rPr>
                <w:rFonts w:asciiTheme="minorHAnsi" w:hAnsiTheme="minorHAnsi" w:cstheme="minorHAnsi"/>
              </w:rPr>
            </w:pPr>
            <w:r w:rsidRPr="00B74E23">
              <w:rPr>
                <w:rFonts w:asciiTheme="minorHAnsi" w:hAnsiTheme="minorHAnsi" w:cstheme="minorHAnsi"/>
              </w:rPr>
              <w:t>Publish document</w:t>
            </w:r>
            <w:r>
              <w:rPr>
                <w:rFonts w:asciiTheme="minorHAnsi" w:hAnsiTheme="minorHAnsi" w:cstheme="minorHAnsi"/>
              </w:rPr>
              <w:t>.</w:t>
            </w:r>
            <w:r w:rsidRPr="00B74E23">
              <w:rPr>
                <w:rFonts w:asciiTheme="minorHAnsi" w:hAnsiTheme="minorHAnsi" w:cstheme="minorHAnsi"/>
              </w:rPr>
              <w:t xml:space="preserve"> </w:t>
            </w:r>
          </w:p>
          <w:p w14:paraId="4DCEFABF" w14:textId="6DF09B3E" w:rsidR="008975F7" w:rsidRPr="00B74E23" w:rsidRDefault="008975F7" w:rsidP="6216375B">
            <w:pPr>
              <w:contextualSpacing/>
              <w:rPr>
                <w:rFonts w:asciiTheme="minorHAnsi" w:hAnsiTheme="minorHAnsi" w:cstheme="minorBidi"/>
              </w:rPr>
            </w:pPr>
            <w:r w:rsidRPr="6216375B">
              <w:rPr>
                <w:rFonts w:asciiTheme="minorHAnsi" w:hAnsiTheme="minorHAnsi" w:cstheme="minorBidi"/>
              </w:rPr>
              <w:t xml:space="preserve">Also publish key evidence base studies and Sustainability Appraisal. </w:t>
            </w:r>
          </w:p>
        </w:tc>
        <w:tc>
          <w:tcPr>
            <w:tcW w:w="2403" w:type="dxa"/>
            <w:tcBorders>
              <w:top w:val="single" w:sz="18" w:space="0" w:color="auto"/>
            </w:tcBorders>
          </w:tcPr>
          <w:p w14:paraId="688C7CD7" w14:textId="5C26F8BE" w:rsidR="008975F7" w:rsidRDefault="008975F7" w:rsidP="6A7EF528">
            <w:pPr>
              <w:contextualSpacing/>
              <w:rPr>
                <w:rFonts w:asciiTheme="minorHAnsi" w:hAnsiTheme="minorHAnsi" w:cstheme="minorBidi"/>
              </w:rPr>
            </w:pPr>
            <w:r w:rsidRPr="6A7EF528">
              <w:rPr>
                <w:rFonts w:asciiTheme="minorHAnsi" w:hAnsiTheme="minorHAnsi" w:cstheme="minorBidi"/>
              </w:rPr>
              <w:t xml:space="preserve">People will have the opportunity to comment on the draft. </w:t>
            </w:r>
          </w:p>
          <w:p w14:paraId="158E1E25" w14:textId="641A8590" w:rsidR="6216375B" w:rsidRDefault="6216375B" w:rsidP="6216375B">
            <w:pPr>
              <w:contextualSpacing/>
              <w:rPr>
                <w:rFonts w:asciiTheme="minorHAnsi" w:hAnsiTheme="minorHAnsi" w:cstheme="minorBidi"/>
              </w:rPr>
            </w:pPr>
          </w:p>
          <w:p w14:paraId="19EB6DA0" w14:textId="3D850219" w:rsidR="008975F7" w:rsidRPr="00B74E23" w:rsidRDefault="008975F7" w:rsidP="4B8A4E2E">
            <w:pPr>
              <w:contextualSpacing/>
              <w:rPr>
                <w:rFonts w:asciiTheme="minorHAnsi" w:hAnsiTheme="minorHAnsi" w:cstheme="minorBidi"/>
              </w:rPr>
            </w:pPr>
            <w:r w:rsidRPr="4B8A4E2E">
              <w:rPr>
                <w:rFonts w:asciiTheme="minorHAnsi" w:hAnsiTheme="minorHAnsi" w:cstheme="minorBidi"/>
              </w:rPr>
              <w:t xml:space="preserve">There is only scope to make relatively minor changes to the document. </w:t>
            </w:r>
          </w:p>
        </w:tc>
        <w:tc>
          <w:tcPr>
            <w:tcW w:w="2403" w:type="dxa"/>
            <w:tcBorders>
              <w:top w:val="single" w:sz="18" w:space="0" w:color="auto"/>
            </w:tcBorders>
          </w:tcPr>
          <w:p w14:paraId="550C6E76" w14:textId="77777777" w:rsidR="008975F7" w:rsidRPr="00B74E23" w:rsidRDefault="008975F7" w:rsidP="00EF3A43">
            <w:pPr>
              <w:contextualSpacing/>
              <w:rPr>
                <w:rFonts w:asciiTheme="minorHAnsi" w:hAnsiTheme="minorHAnsi" w:cstheme="minorHAnsi"/>
              </w:rPr>
            </w:pPr>
            <w:r w:rsidRPr="6216375B">
              <w:rPr>
                <w:rFonts w:asciiTheme="minorHAnsi" w:hAnsiTheme="minorHAnsi" w:cstheme="minorBidi"/>
              </w:rPr>
              <w:t xml:space="preserve">Publish document with comment form. </w:t>
            </w:r>
          </w:p>
          <w:p w14:paraId="0AA15376" w14:textId="7E21F160" w:rsidR="6216375B" w:rsidRDefault="6216375B" w:rsidP="6216375B">
            <w:pPr>
              <w:contextualSpacing/>
              <w:rPr>
                <w:rFonts w:asciiTheme="minorHAnsi" w:hAnsiTheme="minorHAnsi" w:cstheme="minorBidi"/>
              </w:rPr>
            </w:pPr>
          </w:p>
          <w:p w14:paraId="0D49E8DA" w14:textId="603FEBD7" w:rsidR="008975F7" w:rsidRDefault="008975F7" w:rsidP="6216375B">
            <w:pPr>
              <w:contextualSpacing/>
              <w:rPr>
                <w:rFonts w:asciiTheme="minorHAnsi" w:hAnsiTheme="minorHAnsi" w:cstheme="minorBidi"/>
              </w:rPr>
            </w:pPr>
            <w:r w:rsidRPr="6216375B">
              <w:rPr>
                <w:rFonts w:asciiTheme="minorHAnsi" w:hAnsiTheme="minorHAnsi" w:cstheme="minorBidi"/>
              </w:rPr>
              <w:t>Summary version with questionnaire.</w:t>
            </w:r>
          </w:p>
          <w:p w14:paraId="158D5ED4" w14:textId="55010157" w:rsidR="6216375B" w:rsidRDefault="6216375B" w:rsidP="6216375B">
            <w:pPr>
              <w:contextualSpacing/>
              <w:rPr>
                <w:rFonts w:asciiTheme="minorHAnsi" w:hAnsiTheme="minorHAnsi" w:cstheme="minorBidi"/>
              </w:rPr>
            </w:pPr>
          </w:p>
          <w:p w14:paraId="2BECA0E2" w14:textId="10010919" w:rsidR="008975F7" w:rsidRPr="00B74E23" w:rsidRDefault="008975F7" w:rsidP="6A7EF528">
            <w:pPr>
              <w:contextualSpacing/>
              <w:rPr>
                <w:rFonts w:asciiTheme="minorHAnsi" w:hAnsiTheme="minorHAnsi" w:cstheme="minorBidi"/>
              </w:rPr>
            </w:pPr>
            <w:r w:rsidRPr="6A7EF528">
              <w:rPr>
                <w:rFonts w:asciiTheme="minorHAnsi" w:hAnsiTheme="minorHAnsi" w:cstheme="minorBidi"/>
              </w:rPr>
              <w:t xml:space="preserve">Exhibitions, posters and social media campaign will continue.  </w:t>
            </w:r>
          </w:p>
        </w:tc>
        <w:tc>
          <w:tcPr>
            <w:tcW w:w="2403" w:type="dxa"/>
            <w:tcBorders>
              <w:top w:val="single" w:sz="18" w:space="0" w:color="auto"/>
            </w:tcBorders>
          </w:tcPr>
          <w:p w14:paraId="7C856B06" w14:textId="1EA3056F" w:rsidR="008975F7" w:rsidRPr="00B74E23" w:rsidRDefault="008975F7" w:rsidP="6216375B">
            <w:pPr>
              <w:contextualSpacing/>
              <w:rPr>
                <w:rFonts w:asciiTheme="minorHAnsi" w:hAnsiTheme="minorHAnsi" w:cstheme="minorBidi"/>
              </w:rPr>
            </w:pPr>
            <w:r w:rsidRPr="6216375B">
              <w:rPr>
                <w:rFonts w:asciiTheme="minorHAnsi" w:hAnsiTheme="minorHAnsi" w:cstheme="minorBidi"/>
              </w:rPr>
              <w:t xml:space="preserve">All those previously involved, consultee database, press release, social media. </w:t>
            </w:r>
          </w:p>
        </w:tc>
        <w:tc>
          <w:tcPr>
            <w:tcW w:w="2404" w:type="dxa"/>
            <w:tcBorders>
              <w:top w:val="single" w:sz="18" w:space="0" w:color="auto"/>
            </w:tcBorders>
          </w:tcPr>
          <w:p w14:paraId="63E8EDB6" w14:textId="11D89DAD" w:rsidR="008975F7" w:rsidRPr="00B74E23" w:rsidRDefault="008975F7" w:rsidP="6216375B">
            <w:pPr>
              <w:contextualSpacing/>
              <w:rPr>
                <w:rFonts w:asciiTheme="minorHAnsi" w:hAnsiTheme="minorHAnsi" w:cstheme="minorBidi"/>
              </w:rPr>
            </w:pPr>
            <w:r w:rsidRPr="6216375B">
              <w:rPr>
                <w:rFonts w:asciiTheme="minorHAnsi" w:hAnsiTheme="minorHAnsi" w:cstheme="minorBidi"/>
              </w:rPr>
              <w:t>Focus on list of consultees and all involved at earlier stages.</w:t>
            </w:r>
          </w:p>
        </w:tc>
      </w:tr>
    </w:tbl>
    <w:p w14:paraId="08CE6F91" w14:textId="77777777" w:rsidR="008975F7" w:rsidRDefault="008975F7" w:rsidP="008975F7"/>
    <w:p w14:paraId="61CDCEAD" w14:textId="77777777" w:rsidR="008A22C6" w:rsidRPr="008A22C6" w:rsidRDefault="008A22C6" w:rsidP="008A22C6"/>
    <w:sectPr w:rsidR="008A22C6" w:rsidRPr="008A22C6" w:rsidSect="002026C7">
      <w:pgSz w:w="16840" w:h="11907" w:orient="landscape" w:code="9"/>
      <w:pgMar w:top="1258" w:right="460" w:bottom="1258"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intelligence2.xml><?xml version="1.0" encoding="utf-8"?>
<int2:intelligence xmlns:int2="http://schemas.microsoft.com/office/intelligence/2020/intelligence">
  <int2:observations>
    <int2:textHash int2:hashCode="F08WBKomsucpQQ" int2:id="qelO4eVY">
      <int2:state int2:type="LegacyProofing"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A9D1"/>
    <w:multiLevelType w:val="hybridMultilevel"/>
    <w:tmpl w:val="E31C6B18"/>
    <w:lvl w:ilvl="0" w:tplc="15269E10">
      <w:start w:val="1"/>
      <w:numFmt w:val="decimal"/>
      <w:lvlText w:val="%1."/>
      <w:lvlJc w:val="left"/>
      <w:pPr>
        <w:ind w:left="720" w:hanging="360"/>
      </w:pPr>
    </w:lvl>
    <w:lvl w:ilvl="1" w:tplc="580C5E90">
      <w:start w:val="1"/>
      <w:numFmt w:val="lowerLetter"/>
      <w:lvlText w:val="%2."/>
      <w:lvlJc w:val="left"/>
      <w:pPr>
        <w:ind w:left="1440" w:hanging="360"/>
      </w:pPr>
    </w:lvl>
    <w:lvl w:ilvl="2" w:tplc="3E18A652">
      <w:start w:val="1"/>
      <w:numFmt w:val="lowerRoman"/>
      <w:lvlText w:val="%3."/>
      <w:lvlJc w:val="right"/>
      <w:pPr>
        <w:ind w:left="2160" w:hanging="180"/>
      </w:pPr>
    </w:lvl>
    <w:lvl w:ilvl="3" w:tplc="0434BC8E">
      <w:start w:val="1"/>
      <w:numFmt w:val="decimal"/>
      <w:lvlText w:val="%4."/>
      <w:lvlJc w:val="left"/>
      <w:pPr>
        <w:ind w:left="2880" w:hanging="360"/>
      </w:pPr>
    </w:lvl>
    <w:lvl w:ilvl="4" w:tplc="20A6D634">
      <w:start w:val="1"/>
      <w:numFmt w:val="lowerLetter"/>
      <w:lvlText w:val="%5."/>
      <w:lvlJc w:val="left"/>
      <w:pPr>
        <w:ind w:left="3600" w:hanging="360"/>
      </w:pPr>
    </w:lvl>
    <w:lvl w:ilvl="5" w:tplc="069CE75A">
      <w:start w:val="1"/>
      <w:numFmt w:val="lowerRoman"/>
      <w:lvlText w:val="%6."/>
      <w:lvlJc w:val="right"/>
      <w:pPr>
        <w:ind w:left="4320" w:hanging="180"/>
      </w:pPr>
    </w:lvl>
    <w:lvl w:ilvl="6" w:tplc="11B4960A">
      <w:start w:val="1"/>
      <w:numFmt w:val="decimal"/>
      <w:lvlText w:val="%7."/>
      <w:lvlJc w:val="left"/>
      <w:pPr>
        <w:ind w:left="5040" w:hanging="360"/>
      </w:pPr>
    </w:lvl>
    <w:lvl w:ilvl="7" w:tplc="8D405FEC">
      <w:start w:val="1"/>
      <w:numFmt w:val="lowerLetter"/>
      <w:lvlText w:val="%8."/>
      <w:lvlJc w:val="left"/>
      <w:pPr>
        <w:ind w:left="5760" w:hanging="360"/>
      </w:pPr>
    </w:lvl>
    <w:lvl w:ilvl="8" w:tplc="64F81960">
      <w:start w:val="1"/>
      <w:numFmt w:val="lowerRoman"/>
      <w:lvlText w:val="%9."/>
      <w:lvlJc w:val="right"/>
      <w:pPr>
        <w:ind w:left="6480" w:hanging="180"/>
      </w:pPr>
    </w:lvl>
  </w:abstractNum>
  <w:abstractNum w:abstractNumId="1" w15:restartNumberingAfterBreak="0">
    <w:nsid w:val="366E3CE7"/>
    <w:multiLevelType w:val="hybridMultilevel"/>
    <w:tmpl w:val="4D4A9564"/>
    <w:lvl w:ilvl="0" w:tplc="8346859C">
      <w:start w:val="2"/>
      <w:numFmt w:val="decimal"/>
      <w:lvlText w:val="%1."/>
      <w:lvlJc w:val="left"/>
      <w:pPr>
        <w:ind w:left="720" w:hanging="360"/>
      </w:pPr>
    </w:lvl>
    <w:lvl w:ilvl="1" w:tplc="41083636">
      <w:start w:val="1"/>
      <w:numFmt w:val="lowerLetter"/>
      <w:lvlText w:val="%2."/>
      <w:lvlJc w:val="left"/>
      <w:pPr>
        <w:ind w:left="1440" w:hanging="360"/>
      </w:pPr>
    </w:lvl>
    <w:lvl w:ilvl="2" w:tplc="1E1EDB48">
      <w:start w:val="1"/>
      <w:numFmt w:val="lowerRoman"/>
      <w:lvlText w:val="%3."/>
      <w:lvlJc w:val="right"/>
      <w:pPr>
        <w:ind w:left="2160" w:hanging="180"/>
      </w:pPr>
    </w:lvl>
    <w:lvl w:ilvl="3" w:tplc="E72AEA9E">
      <w:start w:val="1"/>
      <w:numFmt w:val="decimal"/>
      <w:lvlText w:val="%4."/>
      <w:lvlJc w:val="left"/>
      <w:pPr>
        <w:ind w:left="2880" w:hanging="360"/>
      </w:pPr>
    </w:lvl>
    <w:lvl w:ilvl="4" w:tplc="32207E82">
      <w:start w:val="1"/>
      <w:numFmt w:val="lowerLetter"/>
      <w:lvlText w:val="%5."/>
      <w:lvlJc w:val="left"/>
      <w:pPr>
        <w:ind w:left="3600" w:hanging="360"/>
      </w:pPr>
    </w:lvl>
    <w:lvl w:ilvl="5" w:tplc="AC2C85BE">
      <w:start w:val="1"/>
      <w:numFmt w:val="lowerRoman"/>
      <w:lvlText w:val="%6."/>
      <w:lvlJc w:val="right"/>
      <w:pPr>
        <w:ind w:left="4320" w:hanging="180"/>
      </w:pPr>
    </w:lvl>
    <w:lvl w:ilvl="6" w:tplc="610EB12C">
      <w:start w:val="1"/>
      <w:numFmt w:val="decimal"/>
      <w:lvlText w:val="%7."/>
      <w:lvlJc w:val="left"/>
      <w:pPr>
        <w:ind w:left="5040" w:hanging="360"/>
      </w:pPr>
    </w:lvl>
    <w:lvl w:ilvl="7" w:tplc="533CA6AE">
      <w:start w:val="1"/>
      <w:numFmt w:val="lowerLetter"/>
      <w:lvlText w:val="%8."/>
      <w:lvlJc w:val="left"/>
      <w:pPr>
        <w:ind w:left="5760" w:hanging="360"/>
      </w:pPr>
    </w:lvl>
    <w:lvl w:ilvl="8" w:tplc="FB661DE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F7"/>
    <w:rsid w:val="00015C2B"/>
    <w:rsid w:val="000B4310"/>
    <w:rsid w:val="004000D7"/>
    <w:rsid w:val="00504E43"/>
    <w:rsid w:val="007908F4"/>
    <w:rsid w:val="008975F7"/>
    <w:rsid w:val="008A22C6"/>
    <w:rsid w:val="00B950DA"/>
    <w:rsid w:val="00C07F80"/>
    <w:rsid w:val="00D3309F"/>
    <w:rsid w:val="00FD3A85"/>
    <w:rsid w:val="01DECDCF"/>
    <w:rsid w:val="028EF5F3"/>
    <w:rsid w:val="02D00C00"/>
    <w:rsid w:val="02F3A259"/>
    <w:rsid w:val="03055AD0"/>
    <w:rsid w:val="037932D2"/>
    <w:rsid w:val="046BDC61"/>
    <w:rsid w:val="05CE64CA"/>
    <w:rsid w:val="0607ACC2"/>
    <w:rsid w:val="0686D1B6"/>
    <w:rsid w:val="092D65A9"/>
    <w:rsid w:val="0BC11B68"/>
    <w:rsid w:val="0FEF9281"/>
    <w:rsid w:val="11221F77"/>
    <w:rsid w:val="120F7A4C"/>
    <w:rsid w:val="13273343"/>
    <w:rsid w:val="134C1169"/>
    <w:rsid w:val="139EB53E"/>
    <w:rsid w:val="14E7E1CA"/>
    <w:rsid w:val="15471B0E"/>
    <w:rsid w:val="16E2EB6F"/>
    <w:rsid w:val="17A3258B"/>
    <w:rsid w:val="17AB4F7F"/>
    <w:rsid w:val="17CEC0DC"/>
    <w:rsid w:val="191C48C7"/>
    <w:rsid w:val="196A913D"/>
    <w:rsid w:val="1BB65C92"/>
    <w:rsid w:val="1CAA1F85"/>
    <w:rsid w:val="1D2E64AE"/>
    <w:rsid w:val="1D522CF3"/>
    <w:rsid w:val="20458CD3"/>
    <w:rsid w:val="20C0651B"/>
    <w:rsid w:val="2109227D"/>
    <w:rsid w:val="2178DE4D"/>
    <w:rsid w:val="21E13E9F"/>
    <w:rsid w:val="22259E16"/>
    <w:rsid w:val="22D9119E"/>
    <w:rsid w:val="2367F6AF"/>
    <w:rsid w:val="2530D93E"/>
    <w:rsid w:val="26BC1E97"/>
    <w:rsid w:val="27D62644"/>
    <w:rsid w:val="289C0DDF"/>
    <w:rsid w:val="28FDB890"/>
    <w:rsid w:val="29653130"/>
    <w:rsid w:val="2A9C8505"/>
    <w:rsid w:val="2B010191"/>
    <w:rsid w:val="2CC9CE09"/>
    <w:rsid w:val="2E307764"/>
    <w:rsid w:val="2E384B6B"/>
    <w:rsid w:val="2E38A253"/>
    <w:rsid w:val="2FCC47C5"/>
    <w:rsid w:val="31571AB8"/>
    <w:rsid w:val="321DE029"/>
    <w:rsid w:val="33612AF9"/>
    <w:rsid w:val="33D82A29"/>
    <w:rsid w:val="37443CA0"/>
    <w:rsid w:val="3A11D0A9"/>
    <w:rsid w:val="3BE8FDD0"/>
    <w:rsid w:val="3BFB53A0"/>
    <w:rsid w:val="3C404C8E"/>
    <w:rsid w:val="3C90D922"/>
    <w:rsid w:val="3CF47368"/>
    <w:rsid w:val="3D2D9B60"/>
    <w:rsid w:val="3F33A9B3"/>
    <w:rsid w:val="3FC879E4"/>
    <w:rsid w:val="40778B4B"/>
    <w:rsid w:val="41644A45"/>
    <w:rsid w:val="41F1B047"/>
    <w:rsid w:val="451B0CAA"/>
    <w:rsid w:val="4624690F"/>
    <w:rsid w:val="47DC488F"/>
    <w:rsid w:val="48703464"/>
    <w:rsid w:val="48C74EBC"/>
    <w:rsid w:val="4A2813E4"/>
    <w:rsid w:val="4A3312C4"/>
    <w:rsid w:val="4A6C135A"/>
    <w:rsid w:val="4B8A4E2E"/>
    <w:rsid w:val="4BA7D526"/>
    <w:rsid w:val="4BAABBE8"/>
    <w:rsid w:val="4C122CBB"/>
    <w:rsid w:val="4CAFB9B2"/>
    <w:rsid w:val="4E6FCACF"/>
    <w:rsid w:val="4F47D53F"/>
    <w:rsid w:val="500B9B30"/>
    <w:rsid w:val="51E06755"/>
    <w:rsid w:val="52AC0EDC"/>
    <w:rsid w:val="53433BF2"/>
    <w:rsid w:val="53F9CD43"/>
    <w:rsid w:val="5447DF3D"/>
    <w:rsid w:val="55C8030B"/>
    <w:rsid w:val="5704DE1F"/>
    <w:rsid w:val="577F7FFF"/>
    <w:rsid w:val="591B5060"/>
    <w:rsid w:val="59A8E8A8"/>
    <w:rsid w:val="5B73AFC4"/>
    <w:rsid w:val="5BE89892"/>
    <w:rsid w:val="5BFBEAEB"/>
    <w:rsid w:val="5BFDBBEB"/>
    <w:rsid w:val="5CDBE351"/>
    <w:rsid w:val="5DEEC183"/>
    <w:rsid w:val="5F8A91E4"/>
    <w:rsid w:val="5FB83608"/>
    <w:rsid w:val="60C64F4D"/>
    <w:rsid w:val="60E03DD1"/>
    <w:rsid w:val="610D39E8"/>
    <w:rsid w:val="612AF63C"/>
    <w:rsid w:val="619F8358"/>
    <w:rsid w:val="6216375B"/>
    <w:rsid w:val="62865732"/>
    <w:rsid w:val="66908258"/>
    <w:rsid w:val="67887065"/>
    <w:rsid w:val="69D08EC6"/>
    <w:rsid w:val="6A7EF528"/>
    <w:rsid w:val="6A86E8A0"/>
    <w:rsid w:val="6CF2962A"/>
    <w:rsid w:val="6D0F5D5D"/>
    <w:rsid w:val="6D8BA9F8"/>
    <w:rsid w:val="6F8F7AD7"/>
    <w:rsid w:val="6FF97EE1"/>
    <w:rsid w:val="70363B7C"/>
    <w:rsid w:val="7341F579"/>
    <w:rsid w:val="73903DEF"/>
    <w:rsid w:val="7414A289"/>
    <w:rsid w:val="74DDC5DA"/>
    <w:rsid w:val="754EC167"/>
    <w:rsid w:val="7679963B"/>
    <w:rsid w:val="7730342C"/>
    <w:rsid w:val="7863AF12"/>
    <w:rsid w:val="7BD88C7E"/>
    <w:rsid w:val="7DBB84CF"/>
    <w:rsid w:val="7E36DAEC"/>
    <w:rsid w:val="7EC7A6FF"/>
    <w:rsid w:val="7EFD9133"/>
    <w:rsid w:val="7F575530"/>
    <w:rsid w:val="7F94BE49"/>
    <w:rsid w:val="7FDEA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14A3"/>
  <w15:docId w15:val="{10F232DC-9EAC-46C1-8354-388C177C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5F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5F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fa82cf345dfc4d1e"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eb32180-f6be-4156-bd87-94caf0a8a105" xsi:nil="true"/>
    <SharedWithUsers xmlns="deb32180-f6be-4156-bd87-94caf0a8a10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15" ma:contentTypeDescription="Create a new document." ma:contentTypeScope="" ma:versionID="4a1d2dd2be6ecdfe940b32257f56b30d">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8bc15f52e107aad3559d57e81d005e6a"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f7ef52-d20e-4112-ad12-462daea79328}" ma:internalName="TaxCatchAll" ma:showField="CatchAllData" ma:web="deb32180-f6be-4156-bd87-94caf0a8a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FC0E6-D8D3-4625-849A-47EA3816F58C}">
  <ds:schemaRefs>
    <ds:schemaRef ds:uri="http://schemas.microsoft.com/sharepoint/v3/contenttype/forms"/>
  </ds:schemaRefs>
</ds:datastoreItem>
</file>

<file path=customXml/itemProps2.xml><?xml version="1.0" encoding="utf-8"?>
<ds:datastoreItem xmlns:ds="http://schemas.openxmlformats.org/officeDocument/2006/customXml" ds:itemID="{1A18BD1A-95B9-495D-BABE-03A994CE7974}">
  <ds:schemaRefs>
    <ds:schemaRef ds:uri="http://purl.org/dc/terms/"/>
    <ds:schemaRef ds:uri="http://schemas.openxmlformats.org/package/2006/metadata/core-properties"/>
    <ds:schemaRef ds:uri="http://purl.org/dc/dcmitype/"/>
    <ds:schemaRef ds:uri="http://schemas.microsoft.com/office/infopath/2007/PartnerControls"/>
    <ds:schemaRef ds:uri="deb32180-f6be-4156-bd87-94caf0a8a105"/>
    <ds:schemaRef ds:uri="http://purl.org/dc/elements/1.1/"/>
    <ds:schemaRef ds:uri="http://schemas.microsoft.com/office/2006/documentManagement/types"/>
    <ds:schemaRef ds:uri="3a4bcc9d-2574-4af6-ad8f-d0baa2bb729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156F0EB-0B1C-40FD-8432-4638B6168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bcc9d-2574-4af6-ad8f-d0baa2bb729f"/>
    <ds:schemaRef ds:uri="deb32180-f6be-4156-bd87-94caf0a8a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C4CD1-CBA1-4473-9B66-4E54DE69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sarah.harrison</dc:creator>
  <cp:lastModifiedBy>COURTNEY Alice</cp:lastModifiedBy>
  <cp:revision>3</cp:revision>
  <dcterms:created xsi:type="dcterms:W3CDTF">2022-08-18T10:39:00Z</dcterms:created>
  <dcterms:modified xsi:type="dcterms:W3CDTF">2022-08-26T10:37:00Z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